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A6C7C" w:rsidRPr="00DA6C7C" w:rsidTr="00DA6C7C">
        <w:trPr>
          <w:tblCellSpacing w:w="0" w:type="dxa"/>
        </w:trPr>
        <w:tc>
          <w:tcPr>
            <w:tcW w:w="3348" w:type="dxa"/>
            <w:tcMar>
              <w:top w:w="0" w:type="dxa"/>
              <w:left w:w="108" w:type="dxa"/>
              <w:bottom w:w="0" w:type="dxa"/>
              <w:right w:w="108" w:type="dxa"/>
            </w:tcMa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b/>
                <w:bCs/>
                <w:sz w:val="20"/>
                <w:szCs w:val="20"/>
                <w:lang w:eastAsia="vi-VN"/>
              </w:rPr>
              <w:t>ỦY BAN NHÂN DÂN</w:t>
            </w:r>
            <w:r w:rsidRPr="00DA6C7C">
              <w:rPr>
                <w:rFonts w:eastAsia="Times New Roman" w:cs="Times New Roman"/>
                <w:b/>
                <w:bCs/>
                <w:sz w:val="20"/>
                <w:szCs w:val="20"/>
                <w:lang w:eastAsia="vi-VN"/>
              </w:rPr>
              <w:br/>
              <w:t>TỈNH HÀ TĨNH</w:t>
            </w:r>
            <w:r w:rsidRPr="00DA6C7C">
              <w:rPr>
                <w:rFonts w:eastAsia="Times New Roman" w:cs="Times New Roman"/>
                <w:b/>
                <w:bCs/>
                <w:sz w:val="20"/>
                <w:szCs w:val="20"/>
                <w:lang w:eastAsia="vi-VN"/>
              </w:rPr>
              <w:br/>
              <w:t>---------</w:t>
            </w:r>
          </w:p>
        </w:tc>
        <w:tc>
          <w:tcPr>
            <w:tcW w:w="5508" w:type="dxa"/>
            <w:tcMar>
              <w:top w:w="0" w:type="dxa"/>
              <w:left w:w="108" w:type="dxa"/>
              <w:bottom w:w="0" w:type="dxa"/>
              <w:right w:w="108" w:type="dxa"/>
            </w:tcMa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b/>
                <w:bCs/>
                <w:sz w:val="20"/>
                <w:szCs w:val="20"/>
                <w:lang w:eastAsia="vi-VN"/>
              </w:rPr>
              <w:t>CỘNG HÒA XÃ HỘI CHỦ NGHĨA VIỆT NAM</w:t>
            </w:r>
            <w:r w:rsidRPr="00DA6C7C">
              <w:rPr>
                <w:rFonts w:eastAsia="Times New Roman" w:cs="Times New Roman"/>
                <w:b/>
                <w:bCs/>
                <w:sz w:val="20"/>
                <w:szCs w:val="20"/>
                <w:lang w:eastAsia="vi-VN"/>
              </w:rPr>
              <w:br/>
              <w:t>Độc lập - Tự do - Hạnh phúc</w:t>
            </w:r>
            <w:r w:rsidRPr="00DA6C7C">
              <w:rPr>
                <w:rFonts w:eastAsia="Times New Roman" w:cs="Times New Roman"/>
                <w:b/>
                <w:bCs/>
                <w:sz w:val="20"/>
                <w:szCs w:val="20"/>
                <w:lang w:eastAsia="vi-VN"/>
              </w:rPr>
              <w:br/>
              <w:t>---------------</w:t>
            </w:r>
          </w:p>
        </w:tc>
      </w:tr>
      <w:tr w:rsidR="00DA6C7C" w:rsidRPr="00DA6C7C" w:rsidTr="00DA6C7C">
        <w:trPr>
          <w:tblCellSpacing w:w="0" w:type="dxa"/>
        </w:trPr>
        <w:tc>
          <w:tcPr>
            <w:tcW w:w="3348" w:type="dxa"/>
            <w:tcMar>
              <w:top w:w="0" w:type="dxa"/>
              <w:left w:w="108" w:type="dxa"/>
              <w:bottom w:w="0" w:type="dxa"/>
              <w:right w:w="108" w:type="dxa"/>
            </w:tcMa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sz w:val="20"/>
                <w:szCs w:val="20"/>
                <w:lang w:eastAsia="vi-VN"/>
              </w:rPr>
              <w:t>Số: 1647/QĐ-UBND</w:t>
            </w:r>
          </w:p>
        </w:tc>
        <w:tc>
          <w:tcPr>
            <w:tcW w:w="5508" w:type="dxa"/>
            <w:tcMar>
              <w:top w:w="0" w:type="dxa"/>
              <w:left w:w="108" w:type="dxa"/>
              <w:bottom w:w="0" w:type="dxa"/>
              <w:right w:w="108" w:type="dxa"/>
            </w:tcMar>
            <w:hideMark/>
          </w:tcPr>
          <w:p w:rsidR="00DA6C7C" w:rsidRPr="00DA6C7C" w:rsidRDefault="00DA6C7C" w:rsidP="00DA6C7C">
            <w:pPr>
              <w:spacing w:before="120" w:after="120" w:line="234" w:lineRule="atLeast"/>
              <w:jc w:val="right"/>
              <w:rPr>
                <w:rFonts w:eastAsia="Times New Roman" w:cs="Times New Roman"/>
                <w:sz w:val="24"/>
                <w:szCs w:val="24"/>
                <w:lang w:eastAsia="vi-VN"/>
              </w:rPr>
            </w:pPr>
            <w:r w:rsidRPr="00DA6C7C">
              <w:rPr>
                <w:rFonts w:eastAsia="Times New Roman" w:cs="Times New Roman"/>
                <w:i/>
                <w:iCs/>
                <w:sz w:val="20"/>
                <w:szCs w:val="20"/>
                <w:lang w:eastAsia="vi-VN"/>
              </w:rPr>
              <w:t>Hà Tĩnh, ngày 03 tháng 6 năm 2019</w:t>
            </w:r>
          </w:p>
        </w:tc>
      </w:tr>
    </w:tbl>
    <w:p w:rsidR="00DA6C7C" w:rsidRPr="00DA6C7C" w:rsidRDefault="00DA6C7C" w:rsidP="00DA6C7C">
      <w:pPr>
        <w:shd w:val="clear" w:color="auto" w:fill="FFFFFF"/>
        <w:spacing w:before="120" w:after="120" w:line="234" w:lineRule="atLeast"/>
        <w:rPr>
          <w:rFonts w:ascii="Arial" w:eastAsia="Times New Roman" w:hAnsi="Arial" w:cs="Arial"/>
          <w:color w:val="000000"/>
          <w:sz w:val="18"/>
          <w:szCs w:val="18"/>
          <w:lang w:eastAsia="vi-VN"/>
        </w:rPr>
      </w:pPr>
      <w:r w:rsidRPr="00DA6C7C">
        <w:rPr>
          <w:rFonts w:ascii="Arial" w:eastAsia="Times New Roman" w:hAnsi="Arial" w:cs="Arial"/>
          <w:color w:val="000000"/>
          <w:sz w:val="20"/>
          <w:szCs w:val="20"/>
          <w:lang w:eastAsia="vi-VN"/>
        </w:rPr>
        <w:t> </w:t>
      </w:r>
    </w:p>
    <w:p w:rsidR="00DA6C7C" w:rsidRPr="00DA6C7C" w:rsidRDefault="00DA6C7C" w:rsidP="00DA6C7C">
      <w:pPr>
        <w:shd w:val="clear" w:color="auto" w:fill="FFFFFF"/>
        <w:spacing w:after="0" w:line="234" w:lineRule="atLeast"/>
        <w:jc w:val="center"/>
        <w:rPr>
          <w:rFonts w:ascii="Arial" w:eastAsia="Times New Roman" w:hAnsi="Arial" w:cs="Arial"/>
          <w:color w:val="000000"/>
          <w:sz w:val="18"/>
          <w:szCs w:val="18"/>
          <w:lang w:eastAsia="vi-VN"/>
        </w:rPr>
      </w:pPr>
      <w:bookmarkStart w:id="0" w:name="loai_1"/>
      <w:r w:rsidRPr="00DA6C7C">
        <w:rPr>
          <w:rFonts w:ascii="Arial" w:eastAsia="Times New Roman" w:hAnsi="Arial" w:cs="Arial"/>
          <w:b/>
          <w:bCs/>
          <w:color w:val="000000"/>
          <w:sz w:val="18"/>
          <w:szCs w:val="18"/>
          <w:lang w:eastAsia="vi-VN"/>
        </w:rPr>
        <w:t>QUYẾT ĐỊNH</w:t>
      </w:r>
      <w:bookmarkEnd w:id="0"/>
    </w:p>
    <w:p w:rsidR="00DA6C7C" w:rsidRPr="00DA6C7C" w:rsidRDefault="00DA6C7C" w:rsidP="00DA6C7C">
      <w:pPr>
        <w:shd w:val="clear" w:color="auto" w:fill="FFFFFF"/>
        <w:spacing w:after="0" w:line="234" w:lineRule="atLeast"/>
        <w:jc w:val="center"/>
        <w:rPr>
          <w:rFonts w:ascii="Arial" w:eastAsia="Times New Roman" w:hAnsi="Arial" w:cs="Arial"/>
          <w:color w:val="000000"/>
          <w:sz w:val="18"/>
          <w:szCs w:val="18"/>
          <w:lang w:eastAsia="vi-VN"/>
        </w:rPr>
      </w:pPr>
      <w:bookmarkStart w:id="1" w:name="loai_1_name"/>
      <w:r w:rsidRPr="00DA6C7C">
        <w:rPr>
          <w:rFonts w:ascii="Arial" w:eastAsia="Times New Roman" w:hAnsi="Arial" w:cs="Arial"/>
          <w:color w:val="000000"/>
          <w:sz w:val="20"/>
          <w:szCs w:val="20"/>
          <w:lang w:eastAsia="vi-VN"/>
        </w:rPr>
        <w:t>VỀ VIỆC CÔNG BỐ DANH MỤC VÀ QUY TRÌNH THỰC HIỆN LIÊN THÔNG CÁC THỦ TỤC HÀNH CHÍNH: ĐĂNG KÝ KHAI TỬ, XÓA ĐĂNG KÝ THƯỜNG TRÚ, HƯỞNG CHẾ ĐỘ TỬ TUẤT/HỖ TRỢ CHI PHÍ MAI TÁNG/HƯỞNG MAI TÁNG PHÍ TRÊN ĐỊA BÀN TỈNH HÀ TĨNH</w:t>
      </w:r>
      <w:bookmarkEnd w:id="1"/>
    </w:p>
    <w:p w:rsidR="00DA6C7C" w:rsidRPr="00DA6C7C" w:rsidRDefault="00DA6C7C" w:rsidP="00DA6C7C">
      <w:pPr>
        <w:shd w:val="clear" w:color="auto" w:fill="FFFFFF"/>
        <w:spacing w:before="120" w:after="120" w:line="234" w:lineRule="atLeast"/>
        <w:jc w:val="center"/>
        <w:rPr>
          <w:rFonts w:ascii="Arial" w:eastAsia="Times New Roman" w:hAnsi="Arial" w:cs="Arial"/>
          <w:color w:val="000000"/>
          <w:sz w:val="18"/>
          <w:szCs w:val="18"/>
          <w:lang w:eastAsia="vi-VN"/>
        </w:rPr>
      </w:pPr>
      <w:r w:rsidRPr="00DA6C7C">
        <w:rPr>
          <w:rFonts w:ascii="Arial" w:eastAsia="Times New Roman" w:hAnsi="Arial" w:cs="Arial"/>
          <w:b/>
          <w:bCs/>
          <w:color w:val="000000"/>
          <w:sz w:val="18"/>
          <w:szCs w:val="18"/>
          <w:lang w:eastAsia="vi-VN"/>
        </w:rPr>
        <w:t>CHỦ TỊCH ỦY BAN NHÂN DÂN TỈNH</w:t>
      </w:r>
    </w:p>
    <w:p w:rsidR="00DA6C7C" w:rsidRPr="00DA6C7C" w:rsidRDefault="00DA6C7C" w:rsidP="00DA6C7C">
      <w:pPr>
        <w:shd w:val="clear" w:color="auto" w:fill="FFFFFF"/>
        <w:spacing w:before="120" w:after="120" w:line="234" w:lineRule="atLeast"/>
        <w:rPr>
          <w:rFonts w:ascii="Arial" w:eastAsia="Times New Roman" w:hAnsi="Arial" w:cs="Arial"/>
          <w:color w:val="000000"/>
          <w:sz w:val="18"/>
          <w:szCs w:val="18"/>
          <w:lang w:eastAsia="vi-VN"/>
        </w:rPr>
      </w:pPr>
      <w:r w:rsidRPr="00DA6C7C">
        <w:rPr>
          <w:rFonts w:ascii="Arial" w:eastAsia="Times New Roman" w:hAnsi="Arial" w:cs="Arial"/>
          <w:i/>
          <w:iCs/>
          <w:color w:val="000000"/>
          <w:sz w:val="20"/>
          <w:szCs w:val="20"/>
          <w:lang w:eastAsia="vi-VN"/>
        </w:rPr>
        <w:t>Căn cứ Luật Tổ chức chính quyền địa phương ngày 19/6/2015;</w:t>
      </w:r>
    </w:p>
    <w:p w:rsidR="00DA6C7C" w:rsidRPr="00DA6C7C" w:rsidRDefault="00DA6C7C" w:rsidP="00DA6C7C">
      <w:pPr>
        <w:shd w:val="clear" w:color="auto" w:fill="FFFFFF"/>
        <w:spacing w:before="120" w:after="120" w:line="234" w:lineRule="atLeast"/>
        <w:rPr>
          <w:rFonts w:ascii="Arial" w:eastAsia="Times New Roman" w:hAnsi="Arial" w:cs="Arial"/>
          <w:color w:val="000000"/>
          <w:sz w:val="18"/>
          <w:szCs w:val="18"/>
          <w:lang w:eastAsia="vi-VN"/>
        </w:rPr>
      </w:pPr>
      <w:r w:rsidRPr="00DA6C7C">
        <w:rPr>
          <w:rFonts w:ascii="Arial" w:eastAsia="Times New Roman" w:hAnsi="Arial" w:cs="Arial"/>
          <w:i/>
          <w:iCs/>
          <w:color w:val="000000"/>
          <w:sz w:val="20"/>
          <w:szCs w:val="20"/>
          <w:lang w:eastAsia="vi-VN"/>
        </w:rPr>
        <w:t>Căn cứ Nghị định số 63/2010/NĐ-CP ngày 08/6/2010 của Chính phủ về kiểm soát thủ tục hành chính;</w:t>
      </w:r>
    </w:p>
    <w:p w:rsidR="00DA6C7C" w:rsidRPr="00DA6C7C" w:rsidRDefault="00DA6C7C" w:rsidP="00DA6C7C">
      <w:pPr>
        <w:shd w:val="clear" w:color="auto" w:fill="FFFFFF"/>
        <w:spacing w:before="120" w:after="120" w:line="234" w:lineRule="atLeast"/>
        <w:rPr>
          <w:rFonts w:ascii="Arial" w:eastAsia="Times New Roman" w:hAnsi="Arial" w:cs="Arial"/>
          <w:color w:val="000000"/>
          <w:sz w:val="18"/>
          <w:szCs w:val="18"/>
          <w:lang w:eastAsia="vi-VN"/>
        </w:rPr>
      </w:pPr>
      <w:r w:rsidRPr="00DA6C7C">
        <w:rPr>
          <w:rFonts w:ascii="Arial" w:eastAsia="Times New Roman" w:hAnsi="Arial" w:cs="Arial"/>
          <w:i/>
          <w:iCs/>
          <w:color w:val="000000"/>
          <w:sz w:val="20"/>
          <w:szCs w:val="20"/>
          <w:lang w:eastAsia="vi-VN"/>
        </w:rPr>
        <w:t>Căn cứ Nghị định số 61/2018/NĐ-CP ngày 23/4/2018 của Chính phủ về việc thực hiện cơ chế một cửa, một cửa liên thông trong giải quyết thủ tục hành chính;</w:t>
      </w:r>
    </w:p>
    <w:p w:rsidR="00DA6C7C" w:rsidRPr="00DA6C7C" w:rsidRDefault="00DA6C7C" w:rsidP="00DA6C7C">
      <w:pPr>
        <w:shd w:val="clear" w:color="auto" w:fill="FFFFFF"/>
        <w:spacing w:before="120" w:after="120" w:line="234" w:lineRule="atLeast"/>
        <w:rPr>
          <w:rFonts w:ascii="Arial" w:eastAsia="Times New Roman" w:hAnsi="Arial" w:cs="Arial"/>
          <w:color w:val="000000"/>
          <w:sz w:val="18"/>
          <w:szCs w:val="18"/>
          <w:lang w:eastAsia="vi-VN"/>
        </w:rPr>
      </w:pPr>
      <w:r w:rsidRPr="00DA6C7C">
        <w:rPr>
          <w:rFonts w:ascii="Arial" w:eastAsia="Times New Roman" w:hAnsi="Arial" w:cs="Arial"/>
          <w:i/>
          <w:iCs/>
          <w:color w:val="000000"/>
          <w:sz w:val="20"/>
          <w:szCs w:val="20"/>
          <w:lang w:eastAsia="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DA6C7C" w:rsidRPr="00DA6C7C" w:rsidRDefault="00DA6C7C" w:rsidP="00DA6C7C">
      <w:pPr>
        <w:shd w:val="clear" w:color="auto" w:fill="FFFFFF"/>
        <w:spacing w:before="120" w:after="120" w:line="234" w:lineRule="atLeast"/>
        <w:rPr>
          <w:rFonts w:ascii="Arial" w:eastAsia="Times New Roman" w:hAnsi="Arial" w:cs="Arial"/>
          <w:color w:val="000000"/>
          <w:sz w:val="18"/>
          <w:szCs w:val="18"/>
          <w:lang w:eastAsia="vi-VN"/>
        </w:rPr>
      </w:pPr>
      <w:r w:rsidRPr="00DA6C7C">
        <w:rPr>
          <w:rFonts w:ascii="Arial" w:eastAsia="Times New Roman" w:hAnsi="Arial" w:cs="Arial"/>
          <w:i/>
          <w:iCs/>
          <w:color w:val="000000"/>
          <w:sz w:val="20"/>
          <w:szCs w:val="20"/>
          <w:lang w:eastAsia="vi-VN"/>
        </w:rPr>
        <w:t>Căn cứ Quyết định số 1380/QĐ-TTg ngày 18/10/2018 của Thủ tướng Chính phủ phê duyệt “Đề án thực hiện liên thông các thủ tục hành chính: Đăng ký khai tử, xóa đăng ký thường trú, hưởng chế độ tử tuất/hỗ trợ chi phí mai táng/hưởng mai táng phí”;</w:t>
      </w:r>
    </w:p>
    <w:p w:rsidR="00DA6C7C" w:rsidRPr="00DA6C7C" w:rsidRDefault="00DA6C7C" w:rsidP="00DA6C7C">
      <w:pPr>
        <w:shd w:val="clear" w:color="auto" w:fill="FFFFFF"/>
        <w:spacing w:before="120" w:after="120" w:line="234" w:lineRule="atLeast"/>
        <w:rPr>
          <w:rFonts w:ascii="Arial" w:eastAsia="Times New Roman" w:hAnsi="Arial" w:cs="Arial"/>
          <w:color w:val="000000"/>
          <w:sz w:val="18"/>
          <w:szCs w:val="18"/>
          <w:lang w:eastAsia="vi-VN"/>
        </w:rPr>
      </w:pPr>
      <w:r w:rsidRPr="00DA6C7C">
        <w:rPr>
          <w:rFonts w:ascii="Arial" w:eastAsia="Times New Roman" w:hAnsi="Arial" w:cs="Arial"/>
          <w:i/>
          <w:iCs/>
          <w:color w:val="000000"/>
          <w:sz w:val="20"/>
          <w:szCs w:val="20"/>
          <w:lang w:eastAsia="vi-VN"/>
        </w:rPr>
        <w:t>Xét đề nghị của Giám đốc Sở Tư pháp tại Văn bản số 257/STP-VP ngày 17/5/2019,</w:t>
      </w:r>
    </w:p>
    <w:p w:rsidR="00DA6C7C" w:rsidRPr="00DA6C7C" w:rsidRDefault="00DA6C7C" w:rsidP="00DA6C7C">
      <w:pPr>
        <w:shd w:val="clear" w:color="auto" w:fill="FFFFFF"/>
        <w:spacing w:before="120" w:after="120" w:line="234" w:lineRule="atLeast"/>
        <w:jc w:val="center"/>
        <w:rPr>
          <w:rFonts w:ascii="Arial" w:eastAsia="Times New Roman" w:hAnsi="Arial" w:cs="Arial"/>
          <w:color w:val="000000"/>
          <w:sz w:val="18"/>
          <w:szCs w:val="18"/>
          <w:lang w:eastAsia="vi-VN"/>
        </w:rPr>
      </w:pPr>
      <w:r w:rsidRPr="00DA6C7C">
        <w:rPr>
          <w:rFonts w:ascii="Arial" w:eastAsia="Times New Roman" w:hAnsi="Arial" w:cs="Arial"/>
          <w:b/>
          <w:bCs/>
          <w:color w:val="000000"/>
          <w:sz w:val="18"/>
          <w:szCs w:val="18"/>
          <w:lang w:eastAsia="vi-VN"/>
        </w:rPr>
        <w:t>QUYẾT ĐỊNH:</w:t>
      </w:r>
    </w:p>
    <w:p w:rsidR="00DA6C7C" w:rsidRPr="00DA6C7C" w:rsidRDefault="00DA6C7C" w:rsidP="00DA6C7C">
      <w:pPr>
        <w:shd w:val="clear" w:color="auto" w:fill="FFFFFF"/>
        <w:spacing w:after="0" w:line="234" w:lineRule="atLeast"/>
        <w:rPr>
          <w:rFonts w:ascii="Arial" w:eastAsia="Times New Roman" w:hAnsi="Arial" w:cs="Arial"/>
          <w:color w:val="000000"/>
          <w:sz w:val="18"/>
          <w:szCs w:val="18"/>
          <w:lang w:eastAsia="vi-VN"/>
        </w:rPr>
      </w:pPr>
      <w:bookmarkStart w:id="2" w:name="dieu_1"/>
      <w:r w:rsidRPr="00DA6C7C">
        <w:rPr>
          <w:rFonts w:ascii="Arial" w:eastAsia="Times New Roman" w:hAnsi="Arial" w:cs="Arial"/>
          <w:b/>
          <w:bCs/>
          <w:color w:val="000000"/>
          <w:sz w:val="20"/>
          <w:szCs w:val="20"/>
          <w:lang w:eastAsia="vi-VN"/>
        </w:rPr>
        <w:t>Điều 1.</w:t>
      </w:r>
      <w:bookmarkEnd w:id="2"/>
      <w:r w:rsidRPr="00DA6C7C">
        <w:rPr>
          <w:rFonts w:ascii="Arial" w:eastAsia="Times New Roman" w:hAnsi="Arial" w:cs="Arial"/>
          <w:b/>
          <w:bCs/>
          <w:color w:val="000000"/>
          <w:sz w:val="20"/>
          <w:szCs w:val="20"/>
          <w:lang w:eastAsia="vi-VN"/>
        </w:rPr>
        <w:t> </w:t>
      </w:r>
      <w:bookmarkStart w:id="3" w:name="dieu_1_name"/>
      <w:r w:rsidRPr="00DA6C7C">
        <w:rPr>
          <w:rFonts w:ascii="Arial" w:eastAsia="Times New Roman" w:hAnsi="Arial" w:cs="Arial"/>
          <w:color w:val="000000"/>
          <w:sz w:val="20"/>
          <w:szCs w:val="20"/>
          <w:lang w:eastAsia="vi-VN"/>
        </w:rPr>
        <w:t>Công bố kèm theo Quyết định này Danh mục và quy trình thực hiện liên thông thủ tục hành chính: Đăng ký khai tử, xóa đăng ký thường trú, hưởng chế độ tử tuất/hỗ trợ chi phí mai táng/hưởng mai táng phí trên địa bàn tỉnh Hà Tĩnh.</w:t>
      </w:r>
      <w:bookmarkEnd w:id="3"/>
    </w:p>
    <w:p w:rsidR="00DA6C7C" w:rsidRPr="00DA6C7C" w:rsidRDefault="00DA6C7C" w:rsidP="00DA6C7C">
      <w:pPr>
        <w:shd w:val="clear" w:color="auto" w:fill="FFFFFF"/>
        <w:spacing w:after="0" w:line="234" w:lineRule="atLeast"/>
        <w:rPr>
          <w:rFonts w:ascii="Arial" w:eastAsia="Times New Roman" w:hAnsi="Arial" w:cs="Arial"/>
          <w:color w:val="000000"/>
          <w:sz w:val="18"/>
          <w:szCs w:val="18"/>
          <w:lang w:eastAsia="vi-VN"/>
        </w:rPr>
      </w:pPr>
      <w:bookmarkStart w:id="4" w:name="dieu_2"/>
      <w:r w:rsidRPr="00DA6C7C">
        <w:rPr>
          <w:rFonts w:ascii="Arial" w:eastAsia="Times New Roman" w:hAnsi="Arial" w:cs="Arial"/>
          <w:b/>
          <w:bCs/>
          <w:color w:val="000000"/>
          <w:sz w:val="20"/>
          <w:szCs w:val="20"/>
          <w:lang w:eastAsia="vi-VN"/>
        </w:rPr>
        <w:t>Điều 2.</w:t>
      </w:r>
      <w:bookmarkEnd w:id="4"/>
      <w:r w:rsidRPr="00DA6C7C">
        <w:rPr>
          <w:rFonts w:ascii="Arial" w:eastAsia="Times New Roman" w:hAnsi="Arial" w:cs="Arial"/>
          <w:b/>
          <w:bCs/>
          <w:color w:val="000000"/>
          <w:sz w:val="20"/>
          <w:szCs w:val="20"/>
          <w:lang w:eastAsia="vi-VN"/>
        </w:rPr>
        <w:t> </w:t>
      </w:r>
      <w:bookmarkStart w:id="5" w:name="dieu_2_name"/>
      <w:r w:rsidRPr="00DA6C7C">
        <w:rPr>
          <w:rFonts w:ascii="Arial" w:eastAsia="Times New Roman" w:hAnsi="Arial" w:cs="Arial"/>
          <w:color w:val="000000"/>
          <w:sz w:val="20"/>
          <w:szCs w:val="20"/>
          <w:lang w:eastAsia="vi-VN"/>
        </w:rPr>
        <w:t>Giao Văn phòng Đoàn ĐBQH, HĐND và UBND tỉnh (Trung tâm Thông tin - Công báo - Tin học), căn cứ Quyết định này xây dựng quy trình điện tử giải quyết thủ tục hành chính liên thông trên Hệ thống thông tin Dịch vụ công trực tuyến của tỉnh, tổ chức tập huấn sử dụng Hệ thống dịch vụ công cho cán bộ, công chức, viên chức các cơ quan, đơn vị, địa phương thực hiện việc tiếp nhận hồ sơ và giải quyết thủ tục hành chính liên thông theo quy định.</w:t>
      </w:r>
      <w:bookmarkEnd w:id="5"/>
    </w:p>
    <w:p w:rsidR="00DA6C7C" w:rsidRPr="00DA6C7C" w:rsidRDefault="00DA6C7C" w:rsidP="00DA6C7C">
      <w:pPr>
        <w:shd w:val="clear" w:color="auto" w:fill="FFFFFF"/>
        <w:spacing w:after="0" w:line="234" w:lineRule="atLeast"/>
        <w:rPr>
          <w:rFonts w:ascii="Arial" w:eastAsia="Times New Roman" w:hAnsi="Arial" w:cs="Arial"/>
          <w:color w:val="000000"/>
          <w:sz w:val="18"/>
          <w:szCs w:val="18"/>
          <w:lang w:eastAsia="vi-VN"/>
        </w:rPr>
      </w:pPr>
      <w:bookmarkStart w:id="6" w:name="dieu_3"/>
      <w:r w:rsidRPr="00DA6C7C">
        <w:rPr>
          <w:rFonts w:ascii="Arial" w:eastAsia="Times New Roman" w:hAnsi="Arial" w:cs="Arial"/>
          <w:b/>
          <w:bCs/>
          <w:color w:val="000000"/>
          <w:sz w:val="20"/>
          <w:szCs w:val="20"/>
          <w:lang w:eastAsia="vi-VN"/>
        </w:rPr>
        <w:t>Điều 3.</w:t>
      </w:r>
      <w:bookmarkEnd w:id="6"/>
      <w:r w:rsidRPr="00DA6C7C">
        <w:rPr>
          <w:rFonts w:ascii="Arial" w:eastAsia="Times New Roman" w:hAnsi="Arial" w:cs="Arial"/>
          <w:b/>
          <w:bCs/>
          <w:color w:val="000000"/>
          <w:sz w:val="20"/>
          <w:szCs w:val="20"/>
          <w:lang w:eastAsia="vi-VN"/>
        </w:rPr>
        <w:t> </w:t>
      </w:r>
      <w:bookmarkStart w:id="7" w:name="dieu_3_name"/>
      <w:r w:rsidRPr="00DA6C7C">
        <w:rPr>
          <w:rFonts w:ascii="Arial" w:eastAsia="Times New Roman" w:hAnsi="Arial" w:cs="Arial"/>
          <w:b/>
          <w:bCs/>
          <w:color w:val="000000"/>
          <w:sz w:val="20"/>
          <w:szCs w:val="20"/>
          <w:lang w:eastAsia="vi-VN"/>
        </w:rPr>
        <w:t>Quyết định này có hiệu lực kể từ ngày ban hành.</w:t>
      </w:r>
      <w:bookmarkEnd w:id="7"/>
    </w:p>
    <w:p w:rsidR="00DA6C7C" w:rsidRPr="00DA6C7C" w:rsidRDefault="00DA6C7C" w:rsidP="00DA6C7C">
      <w:pPr>
        <w:shd w:val="clear" w:color="auto" w:fill="FFFFFF"/>
        <w:spacing w:before="120" w:after="120" w:line="234" w:lineRule="atLeast"/>
        <w:rPr>
          <w:rFonts w:ascii="Arial" w:eastAsia="Times New Roman" w:hAnsi="Arial" w:cs="Arial"/>
          <w:color w:val="000000"/>
          <w:sz w:val="18"/>
          <w:szCs w:val="18"/>
          <w:lang w:eastAsia="vi-VN"/>
        </w:rPr>
      </w:pPr>
      <w:r w:rsidRPr="00DA6C7C">
        <w:rPr>
          <w:rFonts w:ascii="Arial" w:eastAsia="Times New Roman" w:hAnsi="Arial" w:cs="Arial"/>
          <w:color w:val="000000"/>
          <w:sz w:val="20"/>
          <w:szCs w:val="20"/>
          <w:lang w:eastAsia="vi-VN"/>
        </w:rPr>
        <w:t>Chánh Văn phòng Đoàn ĐBQH, HĐND và UBND tỉnh; Giám đốc các sở; Thủ trưởng các ban, ngành cấp tỉnh; Giám đốc: Trung tâm Phục vụ Hành chính công tỉnh, Trung tâm Hành chính công cấp huyện; Trung tâm Thông tin - Công báo - Tin học; Chủ tịch UBND các huyện, thành phố, thị xã; Chủ tịch UBND các xã, phường, thị trấn và các tổ chức, cá nhân có liên quan chịu trách nhiệm thi hành Quyết định này./.</w:t>
      </w:r>
    </w:p>
    <w:p w:rsidR="00DA6C7C" w:rsidRPr="00DA6C7C" w:rsidRDefault="00DA6C7C" w:rsidP="00DA6C7C">
      <w:pPr>
        <w:shd w:val="clear" w:color="auto" w:fill="FFFFFF"/>
        <w:spacing w:before="120" w:after="120" w:line="234" w:lineRule="atLeast"/>
        <w:rPr>
          <w:rFonts w:ascii="Arial" w:eastAsia="Times New Roman" w:hAnsi="Arial" w:cs="Arial"/>
          <w:color w:val="000000"/>
          <w:sz w:val="18"/>
          <w:szCs w:val="18"/>
          <w:lang w:eastAsia="vi-VN"/>
        </w:rPr>
      </w:pPr>
      <w:r w:rsidRPr="00DA6C7C">
        <w:rPr>
          <w:rFonts w:ascii="Arial" w:eastAsia="Times New Roman" w:hAnsi="Arial" w:cs="Arial"/>
          <w:color w:val="000000"/>
          <w:sz w:val="20"/>
          <w:szCs w:val="20"/>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A6C7C" w:rsidRPr="00DA6C7C" w:rsidTr="00DA6C7C">
        <w:trPr>
          <w:tblCellSpacing w:w="0" w:type="dxa"/>
        </w:trPr>
        <w:tc>
          <w:tcPr>
            <w:tcW w:w="4428" w:type="dxa"/>
            <w:tcMar>
              <w:top w:w="0" w:type="dxa"/>
              <w:left w:w="108" w:type="dxa"/>
              <w:bottom w:w="0" w:type="dxa"/>
              <w:right w:w="108" w:type="dxa"/>
            </w:tcMa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b/>
                <w:bCs/>
                <w:i/>
                <w:iCs/>
                <w:sz w:val="20"/>
                <w:szCs w:val="20"/>
                <w:lang w:eastAsia="vi-VN"/>
              </w:rPr>
              <w:br/>
              <w:t>Nơi nhận:</w:t>
            </w:r>
            <w:r w:rsidRPr="00DA6C7C">
              <w:rPr>
                <w:rFonts w:eastAsia="Times New Roman" w:cs="Times New Roman"/>
                <w:b/>
                <w:bCs/>
                <w:i/>
                <w:iCs/>
                <w:sz w:val="20"/>
                <w:szCs w:val="20"/>
                <w:lang w:eastAsia="vi-VN"/>
              </w:rPr>
              <w:br/>
            </w:r>
            <w:r w:rsidRPr="00DA6C7C">
              <w:rPr>
                <w:rFonts w:eastAsia="Times New Roman" w:cs="Times New Roman"/>
                <w:sz w:val="16"/>
                <w:szCs w:val="16"/>
                <w:lang w:eastAsia="vi-VN"/>
              </w:rPr>
              <w:t>- Như Điều 3;</w:t>
            </w:r>
            <w:r w:rsidRPr="00DA6C7C">
              <w:rPr>
                <w:rFonts w:eastAsia="Times New Roman" w:cs="Times New Roman"/>
                <w:sz w:val="16"/>
                <w:szCs w:val="16"/>
                <w:lang w:eastAsia="vi-VN"/>
              </w:rPr>
              <w:br/>
              <w:t>- Cục KSTTHC - VPCP;</w:t>
            </w:r>
            <w:r w:rsidRPr="00DA6C7C">
              <w:rPr>
                <w:rFonts w:eastAsia="Times New Roman" w:cs="Times New Roman"/>
                <w:sz w:val="16"/>
                <w:szCs w:val="16"/>
                <w:lang w:eastAsia="vi-VN"/>
              </w:rPr>
              <w:br/>
              <w:t>- Chủ tịch, các PCT UBND tỉnh;</w:t>
            </w:r>
            <w:r w:rsidRPr="00DA6C7C">
              <w:rPr>
                <w:rFonts w:eastAsia="Times New Roman" w:cs="Times New Roman"/>
                <w:sz w:val="16"/>
                <w:szCs w:val="16"/>
                <w:lang w:eastAsia="vi-VN"/>
              </w:rPr>
              <w:br/>
              <w:t>- CVP các PVP;</w:t>
            </w:r>
            <w:r w:rsidRPr="00DA6C7C">
              <w:rPr>
                <w:rFonts w:eastAsia="Times New Roman" w:cs="Times New Roman"/>
                <w:sz w:val="16"/>
                <w:szCs w:val="16"/>
                <w:lang w:eastAsia="vi-VN"/>
              </w:rPr>
              <w:br/>
              <w:t>- Trung tâm PV HCC tỉnh;</w:t>
            </w:r>
            <w:r w:rsidRPr="00DA6C7C">
              <w:rPr>
                <w:rFonts w:eastAsia="Times New Roman" w:cs="Times New Roman"/>
                <w:sz w:val="16"/>
                <w:szCs w:val="16"/>
                <w:lang w:eastAsia="vi-VN"/>
              </w:rPr>
              <w:br/>
              <w:t>- Trung tâm TT-CB-TH tỉnh;</w:t>
            </w:r>
            <w:r w:rsidRPr="00DA6C7C">
              <w:rPr>
                <w:rFonts w:eastAsia="Times New Roman" w:cs="Times New Roman"/>
                <w:sz w:val="16"/>
                <w:szCs w:val="16"/>
                <w:lang w:eastAsia="vi-VN"/>
              </w:rPr>
              <w:br/>
              <w:t>- Lưu: VT, NC-PC.</w:t>
            </w:r>
          </w:p>
        </w:tc>
        <w:tc>
          <w:tcPr>
            <w:tcW w:w="4428" w:type="dxa"/>
            <w:tcMar>
              <w:top w:w="0" w:type="dxa"/>
              <w:left w:w="108" w:type="dxa"/>
              <w:bottom w:w="0" w:type="dxa"/>
              <w:right w:w="108" w:type="dxa"/>
            </w:tcMa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b/>
                <w:bCs/>
                <w:sz w:val="20"/>
                <w:szCs w:val="20"/>
                <w:lang w:eastAsia="vi-VN"/>
              </w:rPr>
              <w:t>KT. CHỦ TỊCH</w:t>
            </w:r>
            <w:r w:rsidRPr="00DA6C7C">
              <w:rPr>
                <w:rFonts w:eastAsia="Times New Roman" w:cs="Times New Roman"/>
                <w:b/>
                <w:bCs/>
                <w:sz w:val="20"/>
                <w:szCs w:val="20"/>
                <w:lang w:eastAsia="vi-VN"/>
              </w:rPr>
              <w:br/>
              <w:t>PHÓ CHỦ TỊCH</w:t>
            </w:r>
            <w:r w:rsidRPr="00DA6C7C">
              <w:rPr>
                <w:rFonts w:eastAsia="Times New Roman" w:cs="Times New Roman"/>
                <w:b/>
                <w:bCs/>
                <w:sz w:val="20"/>
                <w:szCs w:val="20"/>
                <w:lang w:eastAsia="vi-VN"/>
              </w:rPr>
              <w:br/>
            </w:r>
            <w:r w:rsidRPr="00DA6C7C">
              <w:rPr>
                <w:rFonts w:eastAsia="Times New Roman" w:cs="Times New Roman"/>
                <w:b/>
                <w:bCs/>
                <w:sz w:val="20"/>
                <w:szCs w:val="20"/>
                <w:lang w:eastAsia="vi-VN"/>
              </w:rPr>
              <w:br/>
            </w:r>
            <w:r w:rsidRPr="00DA6C7C">
              <w:rPr>
                <w:rFonts w:eastAsia="Times New Roman" w:cs="Times New Roman"/>
                <w:b/>
                <w:bCs/>
                <w:sz w:val="20"/>
                <w:szCs w:val="20"/>
                <w:lang w:eastAsia="vi-VN"/>
              </w:rPr>
              <w:br/>
            </w:r>
            <w:r w:rsidRPr="00DA6C7C">
              <w:rPr>
                <w:rFonts w:eastAsia="Times New Roman" w:cs="Times New Roman"/>
                <w:b/>
                <w:bCs/>
                <w:sz w:val="20"/>
                <w:szCs w:val="20"/>
                <w:lang w:eastAsia="vi-VN"/>
              </w:rPr>
              <w:br/>
            </w:r>
            <w:r w:rsidRPr="00DA6C7C">
              <w:rPr>
                <w:rFonts w:eastAsia="Times New Roman" w:cs="Times New Roman"/>
                <w:b/>
                <w:bCs/>
                <w:sz w:val="20"/>
                <w:szCs w:val="20"/>
                <w:lang w:eastAsia="vi-VN"/>
              </w:rPr>
              <w:br/>
              <w:t>Đặng Quốc Vinh</w:t>
            </w:r>
          </w:p>
        </w:tc>
      </w:tr>
    </w:tbl>
    <w:p w:rsidR="00DA6C7C" w:rsidRPr="00DA6C7C" w:rsidRDefault="00DA6C7C" w:rsidP="00DA6C7C">
      <w:pPr>
        <w:spacing w:after="0" w:line="240" w:lineRule="auto"/>
        <w:rPr>
          <w:rFonts w:eastAsia="Times New Roman" w:cs="Times New Roman"/>
          <w:sz w:val="24"/>
          <w:szCs w:val="24"/>
          <w:lang w:eastAsia="vi-VN"/>
        </w:rPr>
      </w:pPr>
      <w:r w:rsidRPr="00DA6C7C">
        <w:rPr>
          <w:rFonts w:ascii="Arial" w:eastAsia="Times New Roman" w:hAnsi="Arial" w:cs="Arial"/>
          <w:color w:val="000000"/>
          <w:sz w:val="20"/>
          <w:szCs w:val="20"/>
          <w:shd w:val="clear" w:color="auto" w:fill="FFFFFF"/>
          <w:lang w:eastAsia="vi-VN"/>
        </w:rPr>
        <w:br w:type="textWrapping" w:clear="all"/>
      </w:r>
    </w:p>
    <w:p w:rsidR="00DA6C7C" w:rsidRPr="00DA6C7C" w:rsidRDefault="00DA6C7C" w:rsidP="00DA6C7C">
      <w:pPr>
        <w:shd w:val="clear" w:color="auto" w:fill="FFFFFF"/>
        <w:spacing w:after="0" w:line="234" w:lineRule="atLeast"/>
        <w:jc w:val="center"/>
        <w:rPr>
          <w:rFonts w:ascii="Arial" w:eastAsia="Times New Roman" w:hAnsi="Arial" w:cs="Arial"/>
          <w:color w:val="000000"/>
          <w:sz w:val="18"/>
          <w:szCs w:val="18"/>
          <w:lang w:eastAsia="vi-VN"/>
        </w:rPr>
      </w:pPr>
      <w:bookmarkStart w:id="8" w:name="loai_2"/>
      <w:r w:rsidRPr="00DA6C7C">
        <w:rPr>
          <w:rFonts w:ascii="Arial" w:eastAsia="Times New Roman" w:hAnsi="Arial" w:cs="Arial"/>
          <w:b/>
          <w:bCs/>
          <w:color w:val="000000"/>
          <w:sz w:val="18"/>
          <w:szCs w:val="18"/>
          <w:lang w:eastAsia="vi-VN"/>
        </w:rPr>
        <w:t>DANH MỤC VÀ QUY TRÌNH</w:t>
      </w:r>
      <w:bookmarkEnd w:id="8"/>
    </w:p>
    <w:p w:rsidR="00DA6C7C" w:rsidRPr="00DA6C7C" w:rsidRDefault="00DA6C7C" w:rsidP="00DA6C7C">
      <w:pPr>
        <w:shd w:val="clear" w:color="auto" w:fill="FFFFFF"/>
        <w:spacing w:after="0" w:line="234" w:lineRule="atLeast"/>
        <w:jc w:val="center"/>
        <w:rPr>
          <w:rFonts w:ascii="Arial" w:eastAsia="Times New Roman" w:hAnsi="Arial" w:cs="Arial"/>
          <w:color w:val="000000"/>
          <w:sz w:val="18"/>
          <w:szCs w:val="18"/>
          <w:lang w:eastAsia="vi-VN"/>
        </w:rPr>
      </w:pPr>
      <w:bookmarkStart w:id="9" w:name="loai_2_name"/>
      <w:r w:rsidRPr="00DA6C7C">
        <w:rPr>
          <w:rFonts w:ascii="Arial" w:eastAsia="Times New Roman" w:hAnsi="Arial" w:cs="Arial"/>
          <w:color w:val="000000"/>
          <w:sz w:val="20"/>
          <w:szCs w:val="20"/>
          <w:lang w:eastAsia="vi-VN"/>
        </w:rPr>
        <w:lastRenderedPageBreak/>
        <w:t>GIẢI QUYẾT LIÊN THÔNG CÁC TTHC: ĐĂNG KÝ KHAI TỬ, XÓA ĐĂNG KÝ THƯỜNG TRÚ, HƯỞNG CHẾ ĐỘ TỬ TUẤT/HỖ TRỢ CHI PHÍ MAI TÁNG/HƯỞNG MAI TÁNG PHÍ</w:t>
      </w:r>
      <w:bookmarkEnd w:id="9"/>
    </w:p>
    <w:p w:rsidR="00DA6C7C" w:rsidRPr="00DA6C7C" w:rsidRDefault="00DA6C7C" w:rsidP="00DA6C7C">
      <w:pPr>
        <w:shd w:val="clear" w:color="auto" w:fill="FFFFFF"/>
        <w:spacing w:after="0" w:line="234" w:lineRule="atLeast"/>
        <w:jc w:val="center"/>
        <w:rPr>
          <w:rFonts w:ascii="Arial" w:eastAsia="Times New Roman" w:hAnsi="Arial" w:cs="Arial"/>
          <w:color w:val="000000"/>
          <w:sz w:val="18"/>
          <w:szCs w:val="18"/>
          <w:lang w:eastAsia="vi-VN"/>
        </w:rPr>
      </w:pPr>
      <w:bookmarkStart w:id="10" w:name="chuong_1"/>
      <w:r w:rsidRPr="00DA6C7C">
        <w:rPr>
          <w:rFonts w:ascii="Arial" w:eastAsia="Times New Roman" w:hAnsi="Arial" w:cs="Arial"/>
          <w:b/>
          <w:bCs/>
          <w:color w:val="000000"/>
          <w:sz w:val="20"/>
          <w:szCs w:val="20"/>
          <w:lang w:eastAsia="vi-VN"/>
        </w:rPr>
        <w:t>PHẦN I:</w:t>
      </w:r>
      <w:bookmarkEnd w:id="10"/>
    </w:p>
    <w:p w:rsidR="00DA6C7C" w:rsidRPr="00DA6C7C" w:rsidRDefault="00DA6C7C" w:rsidP="00DA6C7C">
      <w:pPr>
        <w:shd w:val="clear" w:color="auto" w:fill="FFFFFF"/>
        <w:spacing w:after="0" w:line="234" w:lineRule="atLeast"/>
        <w:jc w:val="center"/>
        <w:rPr>
          <w:rFonts w:ascii="Arial" w:eastAsia="Times New Roman" w:hAnsi="Arial" w:cs="Arial"/>
          <w:color w:val="000000"/>
          <w:sz w:val="18"/>
          <w:szCs w:val="18"/>
          <w:lang w:eastAsia="vi-VN"/>
        </w:rPr>
      </w:pPr>
      <w:bookmarkStart w:id="11" w:name="chuong_1_name"/>
      <w:r w:rsidRPr="00DA6C7C">
        <w:rPr>
          <w:rFonts w:ascii="Arial" w:eastAsia="Times New Roman" w:hAnsi="Arial" w:cs="Arial"/>
          <w:b/>
          <w:bCs/>
          <w:color w:val="000000"/>
          <w:sz w:val="20"/>
          <w:szCs w:val="20"/>
          <w:lang w:eastAsia="vi-VN"/>
        </w:rPr>
        <w:t>DANH MỤC CÁC TTHC LIÊN THÔNG</w:t>
      </w:r>
      <w:bookmarkEnd w:id="11"/>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
        <w:gridCol w:w="1368"/>
        <w:gridCol w:w="2008"/>
        <w:gridCol w:w="910"/>
        <w:gridCol w:w="1552"/>
        <w:gridCol w:w="2101"/>
        <w:gridCol w:w="820"/>
      </w:tblGrid>
      <w:tr w:rsidR="00DA6C7C" w:rsidRPr="00DA6C7C" w:rsidTr="00DA6C7C">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b/>
                <w:bCs/>
                <w:sz w:val="20"/>
                <w:szCs w:val="20"/>
                <w:lang w:eastAsia="vi-VN"/>
              </w:rPr>
              <w:t>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b/>
                <w:bCs/>
                <w:sz w:val="20"/>
                <w:szCs w:val="20"/>
                <w:lang w:eastAsia="vi-VN"/>
              </w:rPr>
              <w:t>Tên thủ tục hành chính</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b/>
                <w:bCs/>
                <w:sz w:val="20"/>
                <w:szCs w:val="20"/>
                <w:lang w:eastAsia="vi-VN"/>
              </w:rPr>
              <w:t>Thời hạn giải quyết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b/>
                <w:bCs/>
                <w:sz w:val="20"/>
                <w:szCs w:val="20"/>
                <w:lang w:eastAsia="vi-VN"/>
              </w:rPr>
              <w:t>Địa điểm thực hiện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b/>
                <w:bCs/>
                <w:sz w:val="20"/>
                <w:szCs w:val="20"/>
                <w:lang w:eastAsia="vi-VN"/>
              </w:rPr>
              <w:t>Phí, lệ phí (nếu có)</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b/>
                <w:bCs/>
                <w:sz w:val="20"/>
                <w:szCs w:val="20"/>
                <w:lang w:eastAsia="vi-VN"/>
              </w:rPr>
              <w:t>Căn cứ pháp lý</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b/>
                <w:bCs/>
                <w:sz w:val="20"/>
                <w:szCs w:val="20"/>
                <w:lang w:eastAsia="vi-VN"/>
              </w:rPr>
              <w:t>Số Trang</w:t>
            </w:r>
          </w:p>
        </w:tc>
      </w:tr>
      <w:tr w:rsidR="00DA6C7C" w:rsidRPr="00DA6C7C" w:rsidTr="00DA6C7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DA6C7C" w:rsidRPr="00DA6C7C" w:rsidRDefault="00DA6C7C" w:rsidP="00DA6C7C">
            <w:pPr>
              <w:spacing w:after="0" w:line="234" w:lineRule="atLeast"/>
              <w:jc w:val="center"/>
              <w:rPr>
                <w:rFonts w:eastAsia="Times New Roman" w:cs="Times New Roman"/>
                <w:sz w:val="24"/>
                <w:szCs w:val="24"/>
                <w:lang w:eastAsia="vi-VN"/>
              </w:rPr>
            </w:pPr>
            <w:bookmarkStart w:id="12" w:name="muc_1"/>
            <w:r w:rsidRPr="00DA6C7C">
              <w:rPr>
                <w:rFonts w:eastAsia="Times New Roman" w:cs="Times New Roman"/>
                <w:b/>
                <w:bCs/>
                <w:color w:val="000000"/>
                <w:sz w:val="20"/>
                <w:szCs w:val="20"/>
                <w:lang w:eastAsia="vi-VN"/>
              </w:rPr>
              <w:t>I</w:t>
            </w:r>
            <w:bookmarkEnd w:id="12"/>
          </w:p>
        </w:tc>
        <w:tc>
          <w:tcPr>
            <w:tcW w:w="4800" w:type="pct"/>
            <w:gridSpan w:val="6"/>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after="0" w:line="234" w:lineRule="atLeast"/>
              <w:rPr>
                <w:rFonts w:eastAsia="Times New Roman" w:cs="Times New Roman"/>
                <w:sz w:val="24"/>
                <w:szCs w:val="24"/>
                <w:lang w:eastAsia="vi-VN"/>
              </w:rPr>
            </w:pPr>
            <w:bookmarkStart w:id="13" w:name="muc_1_name"/>
            <w:r w:rsidRPr="00DA6C7C">
              <w:rPr>
                <w:rFonts w:eastAsia="Times New Roman" w:cs="Times New Roman"/>
                <w:b/>
                <w:bCs/>
                <w:color w:val="000000"/>
                <w:sz w:val="20"/>
                <w:szCs w:val="20"/>
                <w:lang w:eastAsia="vi-VN"/>
              </w:rPr>
              <w:t>Lĩnh vực: Tư pháp - Công an - Lao động - Bảo hiểm xã hội</w:t>
            </w:r>
            <w:bookmarkEnd w:id="13"/>
          </w:p>
        </w:tc>
      </w:tr>
      <w:tr w:rsidR="00DA6C7C" w:rsidRPr="00DA6C7C" w:rsidTr="00DA6C7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sz w:val="20"/>
                <w:szCs w:val="20"/>
                <w:lang w:eastAsia="vi-VN"/>
              </w:rPr>
              <w:t>1</w:t>
            </w:r>
          </w:p>
        </w:tc>
        <w:tc>
          <w:tcPr>
            <w:tcW w:w="75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Liên thông thủ tục: Đăng ký khai tử, xóa đăng ký thường trú</w:t>
            </w:r>
          </w:p>
        </w:tc>
        <w:tc>
          <w:tcPr>
            <w:tcW w:w="110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Nếu có nhu cầu, người dân được nhận trích lục khai tử ngay sau khi UBND cấp xã thực hiện xong việc đăng ký khai tử.</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Trường hợp liên thông thủ tục đăng ký khai tử, xóa đăng ký thường trú: 06 ngày làm việc, kể từ ngày nhận đủ hồ sơ hợp lệ, trong đó:</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Đối với Công an xã, thị trấn 02 ngày làm việc;</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Đối với công an thành phố Hà Tĩnh, thị xã Kỳ Anh, thị xã Hồng Lĩnh 04 ngày làm việc.</w:t>
            </w:r>
          </w:p>
        </w:tc>
        <w:tc>
          <w:tcPr>
            <w:tcW w:w="50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sz w:val="20"/>
                <w:szCs w:val="20"/>
                <w:lang w:eastAsia="vi-VN"/>
              </w:rPr>
              <w:t>Bộ phận Tiếp nhận và Trả kết quả UBND cấp xã</w:t>
            </w:r>
          </w:p>
        </w:tc>
        <w:tc>
          <w:tcPr>
            <w:tcW w:w="85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- 5.000 đồng/trường hợp nếu đăng ký khai tử quá hạn, đăng ký khai tử có yếu tố nước ngoài tại khu vực biên giới.</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Tất cả các trường hợp đăng ký khai tử khác: Miễn lệ phí.</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Xóa đăng ký thường trú: Không thu lệ phí.</w:t>
            </w:r>
          </w:p>
        </w:tc>
        <w:tc>
          <w:tcPr>
            <w:tcW w:w="115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Luật Hộ tịch năm 2014.</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Nghị định số 123/2015/NĐ-CP ngày 15/11/2015 của Chính phủ quy định chi tiết một số điều và biện pháp thi hành Luật Hộ tịch.</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15/2015/TT-BTP ngày 16/11/2015 của Bộ Tư pháp quy định chi tiết thi hành một số điều của Luật Hộ tịch và Nghị định số 123/2015/NĐ-CP ngày 15/11/2015 của Chính phủ quy định chi tiết một số điều và biện pháp thi hành Luật Hộ tịch.</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Luật cư trú ngày 11/7/2013.</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Nghị định số 31/2014/NĐ-CP ngày 18/4/2014 của Chính phủ quy định chi tiết một số điều và biện pháp thi hành luật cư trú.</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35/2014/TT-BCA ngày 09/9/2014 của Bộ Công an quy định chi tiết thi hành một số điều của Luật Cư trú và Nghị định số 31/2014/NĐ-CP ngày 18/4/2014 của Chính phủ quy định chi tiết một số điều và biện pháp thi hành Luật cư trú.</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36/2014/TT-BCA ngày 09/9/2014 của Bộ Công an quy định về biểu mẫu sử dụng trong đăng ký, quản lý cư trú.</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xml:space="preserve">- Thông tư số 61/2014/TT-BCA ngày </w:t>
            </w:r>
            <w:r w:rsidRPr="00DA6C7C">
              <w:rPr>
                <w:rFonts w:eastAsia="Times New Roman" w:cs="Times New Roman"/>
                <w:sz w:val="20"/>
                <w:szCs w:val="20"/>
                <w:lang w:eastAsia="vi-VN"/>
              </w:rPr>
              <w:lastRenderedPageBreak/>
              <w:t>20/11/2014 của Bộ Công an quy định về quy trình đăng ký cư trú.</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Nghị quyết số 26/2016/NQ-HĐND ngày 15/12/2016 của HĐND tỉnh quy định về mức thu, miễn, giảm, thu, nộp, quản lý và sử dụng các khoản phí, lệ phí thuộc thẩm quyền của Hội đồng nhân dân tỉnh trên địa bàn tỉnh Hà Tĩnh.</w:t>
            </w:r>
          </w:p>
        </w:tc>
        <w:tc>
          <w:tcPr>
            <w:tcW w:w="30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sz w:val="20"/>
                <w:szCs w:val="20"/>
                <w:lang w:eastAsia="vi-VN"/>
              </w:rPr>
              <w:lastRenderedPageBreak/>
              <w:t>12-17</w:t>
            </w:r>
          </w:p>
        </w:tc>
      </w:tr>
      <w:tr w:rsidR="00DA6C7C" w:rsidRPr="00DA6C7C" w:rsidTr="00DA6C7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sz w:val="20"/>
                <w:szCs w:val="20"/>
                <w:lang w:eastAsia="vi-VN"/>
              </w:rPr>
              <w:lastRenderedPageBreak/>
              <w:t>2</w:t>
            </w:r>
          </w:p>
        </w:tc>
        <w:tc>
          <w:tcPr>
            <w:tcW w:w="75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Liên thông thủ tục: Đăng ký khai tử, xóa đăng ký thường trú, hưởng chế độ tử tuất/hỗ trợ chi phí mai táng/hưởng mai táng phí</w:t>
            </w:r>
          </w:p>
        </w:tc>
        <w:tc>
          <w:tcPr>
            <w:tcW w:w="110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Nếu có nhu cầu, người dân được nhận trích lục khai tử ngay sau khi UBND cấp xã thực hiện xong việc đăng ký khai tử.</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Trường hợp liên thông thủ tục đăng ký khai tử, xóa đăng ký thường trú, hưởng chế độ tử tuất (trợ cấp tuất và trợ cấp mai táng): Tổng thời gian là 28 ngày, trong đó thời gian giải quyết là 20 ngày; thời gian chuyển hồ sơ là 08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Trường hợp liên thông thủ tục đăng ký khai tử, xóa đăng ký thường trú, hưởng mai táng phí đối với đối tượng người có công với cách mạng từ trần: Tổng thời gian là 33 ngày, trong đó thời gian giải quyết là 25 ngày; thời gian chuyển hồ sơ là 08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Trường hợp liên thông thủ tục đăng ký khai tử, xóa đăng ký thường trú, hỗ trợ chi phí mai táng cho đối tượng bảo trợ xã hội (được trợ giúp xã hội thường xuyên tại cộng đồng): Tổng thời gian là 12 ngày, trong đó thời gian giải quyết là 08 ngày; thời gian chuyển hồ sơ là 04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xml:space="preserve">- Trường hợp liên thông </w:t>
            </w:r>
            <w:r w:rsidRPr="00DA6C7C">
              <w:rPr>
                <w:rFonts w:eastAsia="Times New Roman" w:cs="Times New Roman"/>
                <w:sz w:val="20"/>
                <w:szCs w:val="20"/>
                <w:lang w:eastAsia="vi-VN"/>
              </w:rPr>
              <w:lastRenderedPageBreak/>
              <w:t>thủ tục đăng ký khai tử, xóa đăng ký thường trú,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 TTg ngày 08/11/2005, Quyết định số 188/2007/QĐ-TTg ngày 06/12/2007: Tổng thời gian là 48 ngày, trong đó thời gian giải quyết là 40 ngày; thời gian chuyển hồ sơ là 08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Trường hợp liên thông thủ tục đăng ký khai tử, xóa đăng ký thường trú, hưởng mai táng phí đối với đối tượng thực hiện theo Quyết định số 150/2006/QĐ-TTg ngày 12/12/2006 hướng dẫn thi hành một số điều của pháp lệnh cựu chiến binh: Tổng thời gian là 30 ngày; trong đó thời gian giải quyết là 24 ngày; thời gian chuyển hồ sơ là 06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Trường hợp liên thông thủ tục đăng ký khai tử, xóa đăng ký thường trú, hưởng mai táng phí đối với đối tượng hưởng trợ cấp theo Quyết định số 62/2011/QĐ-TTg ngày 09/11/2011 về chế độ, chính sách đối với đối tượng tham gia chiến tranh bảo vệ tổ quốc, làm nhiệm vụ quốc tế ở Cam-pu-chi-a, giúp nước bạn Lào sau ngày 30/4/1975 đã phục viên, xuất ngũ, thôi việc: Tổng thời gian là 34 ngày, trong đó thời gian giải quyết là 26 ngày; thời gian chuyển hồ sơ là 08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lastRenderedPageBreak/>
              <w:t>- Trường hợp liên thông thủ tục đăng ký khai tử, xóa đăng ký thường trú,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 Tổng thời gian là 34 ngày, trong đó thời gian giải quyết là 26 ngày; thời gian chuyển hồ sơ là 08 ngày.</w:t>
            </w:r>
          </w:p>
        </w:tc>
        <w:tc>
          <w:tcPr>
            <w:tcW w:w="50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sz w:val="20"/>
                <w:szCs w:val="20"/>
                <w:lang w:eastAsia="vi-VN"/>
              </w:rPr>
              <w:lastRenderedPageBreak/>
              <w:t>Bộ phận Tiếp nhận và Trả kết quả UBND cấp xã</w:t>
            </w:r>
          </w:p>
        </w:tc>
        <w:tc>
          <w:tcPr>
            <w:tcW w:w="85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- 5.000 đồng/trường hợp nếu đăng ký khai tử quá hạn, đăng ký khai tử có yếu tố nước ngoài tại khu vực biên giới.</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Tất cả các trường hợp đăng ký khai tử khác: Miễn lệ phí.</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Xóa đăng ký thường trú: Không thu phí/lệ phí</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Hưởng chế độ tử tuất/hỗ trợ chi phí mai táng/hưởng mai táng phí: Không thu phí/lệ phí</w:t>
            </w:r>
          </w:p>
        </w:tc>
        <w:tc>
          <w:tcPr>
            <w:tcW w:w="115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Luật Hộ tịch năm 2014;</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Luật Cư trú ngày 11/7/2013;</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Luật Bảo hiểm xã hội ngày 20/11/2014;</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Luật An toàn vệ sinh lao động ngày 25/6/2015;</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Nghị định số 123/2015/NĐ-CP ngày 15/11/2015 của Chính phủ quy định chi tiết một số điều và biện pháp thi hành Luật Hộ tịch;</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Nghị định số 31/2014/NĐ-CP ngày 18/4/2014 của Chính phủ quy định chi tiết một số điều và biện pháp thi hành Luật Cư trú.</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Nghị định số 115/2015/NĐ-CP ngày 11/11/2015 của Chính phủ hướng dẫn Luật Bảo hiểm xã hội về bảo hiểm xã hội bắt buộc;</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Nghị định số 134/2015/NĐ-CP ngày 29/12/2015 của Chính phủ hướng dẫn Luật Bảo hiểm xã hội về bảo hiểm xã hội tự nguyện;</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xml:space="preserve">- Nghị định số 33/2016/NĐ-CP ngày 10/5/2016 của Chính phủ hướng dẫn Luật Bảo hiểm xã hội về bảo hiểm xã hội bắt buộc đối với quân nhân, công an nhân dân và người làm công tác cơ yếu hưởng lương </w:t>
            </w:r>
            <w:r w:rsidRPr="00DA6C7C">
              <w:rPr>
                <w:rFonts w:eastAsia="Times New Roman" w:cs="Times New Roman"/>
                <w:sz w:val="20"/>
                <w:szCs w:val="20"/>
                <w:lang w:eastAsia="vi-VN"/>
              </w:rPr>
              <w:lastRenderedPageBreak/>
              <w:t>như đối với quân nhân;</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15/2015/TT-BTP ngày 16/11/2015 của Bộ Tư pháp quy định chi tiết thi hành một số điều của Luật Hộ tịch và Nghị định số 123/2015/NĐ-CP ngày 15/11/2015 của Chính phủ quy định chi tiết một số điều và biện pháp thi hành Luật Hộ tịch;</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35/2014/TT-BCA ngày 09/9/2014 của Bộ Công an quy định chi tiết thi hành một số điều của Luật Cư trú và Nghị định số 31/2014/NĐ-CP ngày 18/4/2014 của Chính phủ quy định chi tiết một số điều và biện pháp thi hành Luật Cư trú;</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36/2014/TT-BCA ngày 09/9/2014 của Bộ Công an quy định về biểu mẫu sử dụng trong đăng ký, quản lý cư trú;</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61/2014/TT-BCA ngày 20/11/2014 của Bộ Công an quy định về quy trình đăng ký cư trú;</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01/2016/TT-BLĐTBXH ngày 18/02/2016 của Bộ Lao động - Thương binh và xã hội quy định chi tiết và hướng dẫn thi hành một số điều của Luật BHXH về BHXH tự nguyện;</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59/2015/TT-BLĐTBXH ngày 29/12/2015 của Bộ Lao động - Thương binh và Xã hội quy định chi tiết và hướng dẫn thi hành một số điều của Luật bảo hiểm xã hội về bảo hiểm xã hội bắt buộc;</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xml:space="preserve">- Quyết định số 250/QĐ-TTg ngày 29/01/2013 của </w:t>
            </w:r>
            <w:r w:rsidRPr="00DA6C7C">
              <w:rPr>
                <w:rFonts w:eastAsia="Times New Roman" w:cs="Times New Roman"/>
                <w:sz w:val="20"/>
                <w:szCs w:val="20"/>
                <w:lang w:eastAsia="vi-VN"/>
              </w:rPr>
              <w:lastRenderedPageBreak/>
              <w:t>Thủ tướng Chính phủ về việc giải quyết chế độ, chính sách đối với Chủ nhiệm hợp tác xã có quy mô toàn xã trong thời kỳ bao cấp chưa được hưởng chế độ của Nhà nước;</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Quyết định số 166/QĐ-BHXH ngày 31/01/2019 của BHXH Việt Nam ban hành Quy trình giải quyết hưởng các chế độ BHXH, chi trả các chế độ Bảo hiểm xã hội, Bảo hiểm thất nghiệp;</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Nghị quyết số 26/2016/NQ-HĐND ngày 15/12/2016 của HĐND tỉnh quy định về mức thu, miễn, giảm, thu, nộp, quản lý và sử dụng các khoản phí, lệ phí thuộc thẩm quyền của Hội đồng nhân dân tỉnh trên địa bàn tỉnh Hà Tĩnh.</w:t>
            </w:r>
          </w:p>
        </w:tc>
        <w:tc>
          <w:tcPr>
            <w:tcW w:w="30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sz w:val="20"/>
                <w:szCs w:val="20"/>
                <w:lang w:eastAsia="vi-VN"/>
              </w:rPr>
              <w:lastRenderedPageBreak/>
              <w:t>18-35</w:t>
            </w:r>
          </w:p>
        </w:tc>
      </w:tr>
      <w:tr w:rsidR="00DA6C7C" w:rsidRPr="00DA6C7C" w:rsidTr="00DA6C7C">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sz w:val="20"/>
                <w:szCs w:val="20"/>
                <w:lang w:eastAsia="vi-VN"/>
              </w:rPr>
              <w:lastRenderedPageBreak/>
              <w:t>3</w:t>
            </w:r>
          </w:p>
        </w:tc>
        <w:tc>
          <w:tcPr>
            <w:tcW w:w="75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Đăng ký khai tử, hưởng chế độ tử tuất/hỗ trợ chi phí mai táng/hưởng mai táng phí</w:t>
            </w:r>
          </w:p>
        </w:tc>
        <w:tc>
          <w:tcPr>
            <w:tcW w:w="110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Nếu có nhu cầu, người dân được nhận trích lục khai tử ngay sau khi UBND cấp xã thực hiện xong việc đăng ký khai tử.</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Trường hợp liên thông thủ tục đăng ký khai tử, hưởng chế độ tử tuất (trợ cấp tuất và trợ cấp mai táng): Tổng thời gian là 28 ngày trong đó thời gian giải quyết là 20 ngày; thời gian chuyển hồ sơ là 08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Trường hợp liên thông thủ tục đăng ký khai tử, hưởng mai táng phí đối với đối tượng người có công với cách mạng từ trần: Tổng thời gian là 33 ngày, trong đó thời gian giải quyết là 25 ngày; thời gian chuyển hồ sơ là 08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xml:space="preserve">- Trường hợp liên thông thủ tục đăng ký khai tử, hỗ trợ chi phí mai táng cho đối tượng bảo trợ xã </w:t>
            </w:r>
            <w:r w:rsidRPr="00DA6C7C">
              <w:rPr>
                <w:rFonts w:eastAsia="Times New Roman" w:cs="Times New Roman"/>
                <w:sz w:val="20"/>
                <w:szCs w:val="20"/>
                <w:lang w:eastAsia="vi-VN"/>
              </w:rPr>
              <w:lastRenderedPageBreak/>
              <w:t>hội (được trợ giúp xã hội thường xuyên tại cộng đồng): Tổng thời gian là 12 ngày, trong đó thời gian giải quyết là 08 ngày; thời gian chuyển hồ sơ là 04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Trường hợp liên thông thủ tục đăng ký khai tử,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08/11/2005; Quyết định số 188/2007/QĐ-TTg ngày 06/12/2007: Tổng thời gian là 48 ngày, trong đó thời gian giải quyết là 40 ngày; thời gian chuyển hồ sơ là 08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Trường hợp liên thông thủ tục đăng ký khai tử, hưởng mai táng phí đối với đối tượng thực hiện theo Nghị định số 150/2006/NĐ-CP ngày 12/12/2006 hướng dẫn thi hành một số điều của Pháp lệnh Cựu chiến binh: Tổng thời gian là 30 ngày, trong đó thời gian giải quyết là 24 ngày; thời gian chuyển hồ sơ là 06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xml:space="preserve">- Trường hợp liên thông thủ tục đăng ký khai tử, hưởng mai táng phí đối với đối tượng hưởng trợ cấp theo Quyết định số 62/2011/QĐ-TTg ngày 09/11/2011 về chế độ, chính sách đối với đối tượng tham gia chiến tranh bảo vệ tổ quốc, làm nhiệm vụ quốc tế ở Cam-pu-chi-a, giúp nước bạn Lào sau ngày 30 tháng 4 năm 1975 đã </w:t>
            </w:r>
            <w:r w:rsidRPr="00DA6C7C">
              <w:rPr>
                <w:rFonts w:eastAsia="Times New Roman" w:cs="Times New Roman"/>
                <w:sz w:val="20"/>
                <w:szCs w:val="20"/>
                <w:lang w:eastAsia="vi-VN"/>
              </w:rPr>
              <w:lastRenderedPageBreak/>
              <w:t>phục viên, xuất ngũ, thôi việc: Tổng thời gian là 34 ngày, trong đó thời gian giải quyết là 26 ngày; thời gian chuyển hồ sơ là 08 ngày.</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Trường hợp liên thông thủ tục đăng ký khai tử, hưởng mai táng phí đối với đối tượng hưởng trợ cấp theo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 Tổng thời gian là 34 ngày, trong đó thời gian giải quyết là 26 ngày; thời gian chuyển hồ sơ là 08 ngày.</w:t>
            </w:r>
          </w:p>
        </w:tc>
        <w:tc>
          <w:tcPr>
            <w:tcW w:w="50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jc w:val="center"/>
              <w:rPr>
                <w:rFonts w:eastAsia="Times New Roman" w:cs="Times New Roman"/>
                <w:sz w:val="24"/>
                <w:szCs w:val="24"/>
                <w:lang w:eastAsia="vi-VN"/>
              </w:rPr>
            </w:pPr>
            <w:r w:rsidRPr="00DA6C7C">
              <w:rPr>
                <w:rFonts w:eastAsia="Times New Roman" w:cs="Times New Roman"/>
                <w:sz w:val="20"/>
                <w:szCs w:val="20"/>
                <w:lang w:eastAsia="vi-VN"/>
              </w:rPr>
              <w:lastRenderedPageBreak/>
              <w:t>Bộ phận Tiếp nhận và Trả kết quả UBND cấp xã</w:t>
            </w:r>
          </w:p>
        </w:tc>
        <w:tc>
          <w:tcPr>
            <w:tcW w:w="85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- 5.000 đồng/trường hợp nếu đăng ký khai tử quá hạn, đăng ký khai tử có yếu tố nước ngoài tại khu vực biên giới.</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Tất cả các trường hợp đăng ký khai tử khác: Miễn lệ phí.</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Hưởng chế độ tử tuất/hỗ trợ chi phí mai táng/hưởng mai táng phí: Không thu phí/lệ phí</w:t>
            </w:r>
          </w:p>
        </w:tc>
        <w:tc>
          <w:tcPr>
            <w:tcW w:w="1150" w:type="pct"/>
            <w:tcBorders>
              <w:top w:val="nil"/>
              <w:left w:val="nil"/>
              <w:bottom w:val="single" w:sz="8" w:space="0" w:color="auto"/>
              <w:right w:val="single" w:sz="8" w:space="0" w:color="auto"/>
            </w:tcBorders>
            <w:shd w:val="clear" w:color="auto" w:fill="FFFFFF"/>
            <w:vAlign w:val="center"/>
            <w:hideMark/>
          </w:tcPr>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Luật Hộ tịch năm 2014;</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Nghị định số 123/2015/NĐ-CP ngày 15/11/2015 của Chính phủ quy định chi tiết một số điều và biện pháp thi hành Luật Hộ tịch.</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Luật Bảo hiểm xã hội số 58/2014/QH13 ngày 20/11/2014;</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Luật An toàn vệ sinh lao động số 84/2015/QH13 ngày 25/6/2015.</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Nghị định số 115/2015/NĐ-CP ngày 11/11/2015 của Chính phủ hướng dẫn Luật Bảo hiểm xã hội về bảo hiểm xã hội bắt buộc.</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Nghị định số 134/2015/NĐ-CP ngày 29/12/2015 của Chính phủ hướng dẫn Luật Bảo hiểm xã hội về bảo hiểm xã hội tự nguyện.</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xml:space="preserve">- Nghị định số 33/2016/NĐ-CP ngày 10/5/2016 của Chính phủ </w:t>
            </w:r>
            <w:r w:rsidRPr="00DA6C7C">
              <w:rPr>
                <w:rFonts w:eastAsia="Times New Roman" w:cs="Times New Roman"/>
                <w:sz w:val="20"/>
                <w:szCs w:val="20"/>
                <w:lang w:eastAsia="vi-VN"/>
              </w:rPr>
              <w:lastRenderedPageBreak/>
              <w:t>hướng dẫn Luật Bảo hiểm xã hội về bảo hiểm xã hội bắt buộc đối với quân nhân, công an nhân dân và người làm công tác cơ yếu hưởng lương như đối với quân nhân;</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15/2015/TT-BTP ngày 16/11/2015 của Bộ Tư pháp quy định chi tiết thi hành một số điều của Luật Hộ tịch và Nghị định số 123/2015/NĐ-CP ngày 15/11/2015 của Chính phủ quy định chi tiết một số điều và biện pháp thi hành Luật Hộ tịch;</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59/2015/TT-BLĐTBXH ngày 29/12/2015 của Bộ Lao động - Thương binh và xã hội quy định chi tiết và hướng dẫn thi hành một số điều của Luật Bảo hiểm xã hội về bảo hiểm xã hội bắt buộc;</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Thông tư số 01/2016/TT-BLĐTBXH ngày 18/02/2016 của Bộ Lao động - Thương binh và xã hội quy định chi tiết và hướng dẫn thi hành một số điều của Luật BHXH về BHXH tự nguyện;</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Quyết định số 166/QĐ-BHXH ngày 31/01/2019 của BHXH Việt Nam ban hành Quy trình giải quyết hưởng các chế độ BHXH, chi trả các chế độ Bảo hiểm xã hội, Bảo hiểm thất nghiệp;</w:t>
            </w:r>
          </w:p>
          <w:p w:rsidR="00DA6C7C" w:rsidRPr="00DA6C7C" w:rsidRDefault="00DA6C7C" w:rsidP="00DA6C7C">
            <w:pPr>
              <w:spacing w:before="120" w:after="120" w:line="234" w:lineRule="atLeast"/>
              <w:rPr>
                <w:rFonts w:eastAsia="Times New Roman" w:cs="Times New Roman"/>
                <w:sz w:val="24"/>
                <w:szCs w:val="24"/>
                <w:lang w:eastAsia="vi-VN"/>
              </w:rPr>
            </w:pPr>
            <w:r w:rsidRPr="00DA6C7C">
              <w:rPr>
                <w:rFonts w:eastAsia="Times New Roman" w:cs="Times New Roman"/>
                <w:sz w:val="20"/>
                <w:szCs w:val="20"/>
                <w:lang w:eastAsia="vi-VN"/>
              </w:rPr>
              <w:t xml:space="preserve">- Nghị quyết số 26/2016/NQ-HĐND </w:t>
            </w:r>
            <w:r w:rsidRPr="00DA6C7C">
              <w:rPr>
                <w:rFonts w:eastAsia="Times New Roman" w:cs="Times New Roman"/>
                <w:sz w:val="20"/>
                <w:szCs w:val="20"/>
                <w:lang w:eastAsia="vi-VN"/>
              </w:rPr>
              <w:lastRenderedPageBreak/>
              <w:t>ngày 15/12/2016 của HĐND tỉnh quy định về mức thu, miễn, giảm, thu, nộp, quản lý và sử dụng các khoản phí, lệ phí thuộc thẩm quyền của Hội đồng nhân dân tỉnh trên địa bàn tỉnh Hà Tĩnh.</w:t>
            </w:r>
          </w:p>
        </w:tc>
        <w:tc>
          <w:tcPr>
            <w:tcW w:w="0" w:type="auto"/>
            <w:vAlign w:val="center"/>
            <w:hideMark/>
          </w:tcPr>
          <w:p w:rsidR="00DA6C7C" w:rsidRPr="00DA6C7C" w:rsidRDefault="00DA6C7C" w:rsidP="00DA6C7C">
            <w:pPr>
              <w:spacing w:after="0" w:line="240" w:lineRule="auto"/>
              <w:rPr>
                <w:rFonts w:eastAsia="Times New Roman" w:cs="Times New Roman"/>
                <w:sz w:val="20"/>
                <w:szCs w:val="20"/>
                <w:lang w:eastAsia="vi-VN"/>
              </w:rPr>
            </w:pPr>
          </w:p>
        </w:tc>
      </w:tr>
    </w:tbl>
    <w:p w:rsidR="004617EA" w:rsidRPr="00DA6C7C" w:rsidRDefault="004617EA" w:rsidP="00DA6C7C">
      <w:bookmarkStart w:id="14" w:name="_GoBack"/>
      <w:bookmarkEnd w:id="14"/>
    </w:p>
    <w:sectPr w:rsidR="004617EA" w:rsidRPr="00DA6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51"/>
    <w:rsid w:val="000D4714"/>
    <w:rsid w:val="00116550"/>
    <w:rsid w:val="004617EA"/>
    <w:rsid w:val="0064119F"/>
    <w:rsid w:val="00A12851"/>
    <w:rsid w:val="00DA6C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2851"/>
  </w:style>
  <w:style w:type="paragraph" w:styleId="NormalWeb">
    <w:name w:val="Normal (Web)"/>
    <w:basedOn w:val="Normal"/>
    <w:uiPriority w:val="99"/>
    <w:unhideWhenUsed/>
    <w:rsid w:val="00A12851"/>
    <w:pPr>
      <w:spacing w:before="100" w:beforeAutospacing="1" w:after="100" w:afterAutospacing="1" w:line="240" w:lineRule="auto"/>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12851"/>
  </w:style>
  <w:style w:type="paragraph" w:styleId="NormalWeb">
    <w:name w:val="Normal (Web)"/>
    <w:basedOn w:val="Normal"/>
    <w:uiPriority w:val="99"/>
    <w:unhideWhenUsed/>
    <w:rsid w:val="00A12851"/>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742561">
      <w:bodyDiv w:val="1"/>
      <w:marLeft w:val="0"/>
      <w:marRight w:val="0"/>
      <w:marTop w:val="0"/>
      <w:marBottom w:val="0"/>
      <w:divBdr>
        <w:top w:val="none" w:sz="0" w:space="0" w:color="auto"/>
        <w:left w:val="none" w:sz="0" w:space="0" w:color="auto"/>
        <w:bottom w:val="none" w:sz="0" w:space="0" w:color="auto"/>
        <w:right w:val="none" w:sz="0" w:space="0" w:color="auto"/>
      </w:divBdr>
    </w:div>
    <w:div w:id="17741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449CE-6B2D-4C5B-8E07-716BBC6014CE}"/>
</file>

<file path=customXml/itemProps2.xml><?xml version="1.0" encoding="utf-8"?>
<ds:datastoreItem xmlns:ds="http://schemas.openxmlformats.org/officeDocument/2006/customXml" ds:itemID="{D6BA9641-A6DB-4B89-89DB-285E7148BC55}"/>
</file>

<file path=customXml/itemProps3.xml><?xml version="1.0" encoding="utf-8"?>
<ds:datastoreItem xmlns:ds="http://schemas.openxmlformats.org/officeDocument/2006/customXml" ds:itemID="{A445773F-D472-47DA-9547-628C5D2B2E17}"/>
</file>

<file path=docProps/app.xml><?xml version="1.0" encoding="utf-8"?>
<Properties xmlns="http://schemas.openxmlformats.org/officeDocument/2006/extended-properties" xmlns:vt="http://schemas.openxmlformats.org/officeDocument/2006/docPropsVTypes">
  <Template>Normal</Template>
  <TotalTime>0</TotalTime>
  <Pages>7</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2020-11-04T08:28:00Z</dcterms:created>
  <dcterms:modified xsi:type="dcterms:W3CDTF">2020-11-04T08:28:00Z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